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firstLine="709"/>
        <w:jc w:val="both"/>
        <w:spacing w:line="240" w:lineRule="auto"/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eastAsia="Times New Roman" w:cs="Times New Roman"/>
          <w:b/>
          <w:color w:val="000000"/>
          <w:spacing w:val="11"/>
          <w:sz w:val="28"/>
        </w:rPr>
        <w:t xml:space="preserve">«Академия государственной противопожарной службы»</w:t>
      </w: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  <w:t xml:space="preserve"> Министерства Российской Федерации по делам гражданской обороны, чрезвычайным ситуациям и ликвидации последствий стихийных бедствий» проводит:</w:t>
      </w:r>
      <w:bookmarkEnd w:id="0"/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r>
    </w:p>
    <w:p>
      <w:pPr>
        <w:ind w:left="-567" w:firstLine="1701"/>
        <w:jc w:val="center"/>
        <w:spacing w:line="240" w:lineRule="auto"/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pP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r>
    </w:p>
    <w:p>
      <w:pPr>
        <w:pStyle w:val="625"/>
        <w:ind w:left="1134"/>
        <w:jc w:val="both"/>
        <w:spacing w:line="240" w:lineRule="auto"/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pP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r>
    </w:p>
    <w:p>
      <w:pPr>
        <w:pStyle w:val="625"/>
        <w:numPr>
          <w:ilvl w:val="0"/>
          <w:numId w:val="1"/>
        </w:numPr>
        <w:ind w:left="567" w:firstLine="567"/>
        <w:jc w:val="both"/>
        <w:spacing w:line="240" w:lineRule="auto"/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pP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  <w:t xml:space="preserve">Конкурс на замещение вакантных должностей:</w:t>
      </w: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</w:r>
    </w:p>
    <w:p>
      <w:pPr>
        <w:pStyle w:val="625"/>
        <w:numPr>
          <w:ilvl w:val="0"/>
          <w:numId w:val="3"/>
        </w:numPr>
        <w:ind w:left="1418" w:right="0" w:hanging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доцента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кафедры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физико-математических дисциплин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25"/>
        <w:numPr>
          <w:ilvl w:val="0"/>
          <w:numId w:val="3"/>
        </w:numPr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профессора кафедры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пожарной безопасности технологических процессов (в составе </w:t>
      </w:r>
      <w:r>
        <w:rPr>
          <w:rFonts w:ascii="Times New Roman" w:hAnsi="Times New Roman"/>
          <w:color w:val="000000"/>
          <w:sz w:val="28"/>
        </w:rPr>
        <w:t xml:space="preserve">учебно-научного комплекса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пожарной безопасности объектов защиты) на 0,75 ставки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2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профессора кафедры надзорной деятельности (в составе учебно-научного комплекса организации надзорной деятельности).</w:t>
      </w:r>
      <w:r/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ind w:left="-567" w:right="-142" w:firstLine="567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  <w:spacing w:val="3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3"/>
          <w:sz w:val="28"/>
          <w:lang w:val="en-US"/>
        </w:rPr>
        <w:t xml:space="preserve">C</w:t>
      </w:r>
      <w:r>
        <w:rPr>
          <w:rFonts w:ascii="Times New Roman" w:hAnsi="Times New Roman" w:eastAsia="Times New Roman" w:cs="Times New Roman"/>
          <w:b/>
          <w:color w:val="000000"/>
          <w:spacing w:val="3"/>
          <w:sz w:val="28"/>
        </w:rPr>
        <w:t xml:space="preserve">писок квалификационных требований к должностям</w:t>
      </w:r>
      <w:r>
        <w:rPr>
          <w:rFonts w:ascii="Times New Roman" w:hAnsi="Times New Roman" w:eastAsia="Times New Roman" w:cs="Times New Roman"/>
          <w:b/>
          <w:color w:val="000000"/>
          <w:spacing w:val="3"/>
          <w:sz w:val="28"/>
        </w:rPr>
      </w:r>
    </w:p>
    <w:p>
      <w:pPr>
        <w:ind w:left="-567" w:right="-142" w:firstLine="567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  <w:spacing w:val="3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3"/>
          <w:sz w:val="28"/>
        </w:rPr>
      </w:r>
      <w:r>
        <w:rPr>
          <w:rFonts w:ascii="Times New Roman" w:hAnsi="Times New Roman" w:eastAsia="Times New Roman" w:cs="Times New Roman"/>
          <w:b/>
          <w:color w:val="000000"/>
          <w:spacing w:val="3"/>
          <w:sz w:val="28"/>
        </w:rPr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2951"/>
        <w:gridCol w:w="5705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1.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7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Требования к квалификации.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  <w:t xml:space="preserve"> 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2.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Требования к квалификации.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  <w:t xml:space="preserve"> 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</w:r>
          </w:p>
          <w:p>
            <w:pPr>
              <w:spacing w:after="0" w:line="240" w:lineRule="auto"/>
            </w:pPr>
            <w:r/>
            <w:r/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3.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Старший преподаватель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7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Требования к квалификации.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  <w:t xml:space="preserve"> 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  <w:r/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4.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Преподаватель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7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Требования к квалификации. 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</w:rPr>
              <w:t xml:space="preserve">адъюнктура) или ученой степени кандидата наук – без предъявления требований к стажу работы.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 </w:t>
            </w:r>
            <w:r/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5.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Старший научный сотрудник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hd w:val="clear" w:color="auto" w:fill="ffffff"/>
              </w:rPr>
              <w:t xml:space="preserve">Требования к квалификации.</w:t>
            </w:r>
            <w:r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  <w:t xml:space="preserve"> 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  <w:shd w:val="clear" w:color="auto" w:fill="ffffff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6.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</w:rPr>
              <w:t xml:space="preserve">Ведущий научный сотрудник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77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  <w:shd w:val="clear" w:color="auto" w:fill="ffffff"/>
              </w:rPr>
              <w:t xml:space="preserve">Требования к квалификации.</w:t>
            </w:r>
            <w:r>
              <w:rPr>
                <w:rFonts w:ascii="Times New Roman" w:hAnsi="Times New Roman" w:eastAsia="Times New Roman" w:cs="Times New Roman"/>
                <w:sz w:val="24"/>
                <w:shd w:val="clear" w:color="auto" w:fill="ffffff"/>
              </w:rPr>
              <w:t xml:space="preserve"> 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      </w:r>
            <w:r/>
          </w:p>
        </w:tc>
      </w:tr>
    </w:tbl>
    <w:p>
      <w:pPr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pacing w:val="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bCs/>
          <w:color w:val="111111"/>
          <w:spacing w:val="1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</w:rPr>
        <w:t xml:space="preserve">Место, время и дата приема документов:</w:t>
      </w:r>
      <w:r>
        <w:rPr>
          <w:rFonts w:ascii="Times New Roman" w:hAnsi="Times New Roman" w:eastAsia="Times New Roman" w:cs="Times New Roman"/>
          <w:b/>
          <w:bCs/>
          <w:color w:val="111111"/>
          <w:spacing w:val="11"/>
          <w:sz w:val="28"/>
          <w:szCs w:val="28"/>
          <w:highlight w:val="none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1. Заявления и документы принимаются по адресу: 129366, г. Москва, ул. Бориса Галушкина, д. 4, совет Академии ГПС МЧС России.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2. Режим работы отдела совета Академии: с 9.00 до 18.00 ежедневно.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3. Срок подачи заявлений и документов для участия в выборах и конкурсе:   до 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  <w:lang w:val="en-US"/>
        </w:rPr>
        <w:t xml:space="preserve">29 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  <w:lang w:val="ru-RU"/>
        </w:rPr>
        <w:t xml:space="preserve">мая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 2025 года. 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4. Ответственный за прием документов: ученый секретарь совета Академии Колбасин Андрей Александрович.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5. Телефон для справок: (495) 617-27-27 доб.29-77; доб.26-08. 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360" w:line="270" w:lineRule="auto"/>
        <w:rPr>
          <w:rFonts w:ascii="Times New Roman" w:hAnsi="Times New Roman" w:eastAsia="Times New Roman" w:cs="Times New Roman"/>
          <w:b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111111"/>
          <w:spacing w:val="11"/>
          <w:sz w:val="28"/>
          <w:shd w:val="clear" w:color="auto" w:fill="ffffff"/>
        </w:rPr>
        <w:t xml:space="preserve">Перечень документов для претендентов, не являющихся сотрудниками ФПС:</w:t>
      </w:r>
      <w:r>
        <w:rPr>
          <w:rFonts w:ascii="Times New Roman" w:hAnsi="Times New Roman" w:eastAsia="Times New Roman" w:cs="Times New Roman"/>
          <w:b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1) заявление с просьбой о поступлении на службу в федеральную противопожарную службу по форме, установленной федеральным органом исполнительной власти в области пожарной безопасности;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2) паспорт гражданина Российской Федерации;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3) собственноручно заполненную и подписанную анкету по форме, установленной Правительством Российской Федерации;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4) собственноручно написанную автобиографию;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5) документы об образовании и (или) о квалификации копия диплома о высшем образовании, копия диплома кандидата (доктора) наук, копия диплома доцента (профессора);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6)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 трудовую книжку, за исключением случаев, если служебная (трудовая) деятельность осуществляется впервые либо если трудовая книжка утрачена, или копию трудовой книжки в случае, если гражданин на момент изучения его документов работает по трудовому договору;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7) уведомление или свидетельство о постановке на учет в налоговом органе;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8)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несовершеннолетних детей по форме, установленной законодательством Российской Федерации о противодействии коррупции;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9) согласие, выраженное в письменной форме, на проведение проверки достоверности сообщенных гражданином сведений, а также на проведение мероприятий, св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язанных с оформлением допуска к сведениям, составляющим государственную и иную охраняемую законом тайну, в случаях, если исполнение служебных обязанностей связано с работой со сведениями, составляющими государственную и (или) иную охраняемую законом тайну;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10) согласие, выраженное в письменной форме, на обработку персональных данных гражданина в целях изучения возможности приема его на службу в федеральную противопожарную службу.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  <w:t xml:space="preserve">11) Список научных и учебно-методических трудов (форма 16), свидетельства, патенты, грамоты, дипломы и т.п. (или их копии).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hd w:val="clear" w:color="auto" w:fill="fffff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ascii="Times New Roman" w:hAnsi="Times New Roman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eastAsiaTheme="minorEastAsia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Надежда Петровна</dc:creator>
  <cp:keywords/>
  <dc:description/>
  <cp:revision>5</cp:revision>
  <dcterms:created xsi:type="dcterms:W3CDTF">2025-02-21T07:29:00Z</dcterms:created>
  <dcterms:modified xsi:type="dcterms:W3CDTF">2025-04-29T13:43:14Z</dcterms:modified>
</cp:coreProperties>
</file>